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1B99C070"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sidR="00D47504">
        <w:rPr>
          <w:rFonts w:ascii="Arial" w:hAnsi="Arial" w:cs="Arial"/>
          <w:b/>
          <w:bCs/>
          <w:sz w:val="28"/>
        </w:rPr>
        <w:tab/>
      </w:r>
      <w:r w:rsidR="00D47504">
        <w:rPr>
          <w:rFonts w:ascii="Arial" w:hAnsi="Arial" w:cs="Arial"/>
          <w:b/>
          <w:bCs/>
          <w:sz w:val="28"/>
        </w:rPr>
        <w:tab/>
      </w:r>
      <w:bookmarkStart w:id="0" w:name="_GoBack"/>
      <w:bookmarkEnd w:id="0"/>
      <w:r w:rsidR="00D47504" w:rsidRPr="00D47504">
        <w:rPr>
          <w:rFonts w:ascii="Arial" w:hAnsi="Arial" w:cs="Arial"/>
          <w:b/>
          <w:bCs/>
          <w:sz w:val="28"/>
        </w:rPr>
        <w:t>R1-1802307</w:t>
      </w:r>
    </w:p>
    <w:p w14:paraId="04838D22" w14:textId="77777777" w:rsidR="00C82732" w:rsidRPr="009513AC" w:rsidRDefault="00C82732"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1C36C30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53D08">
        <w:rPr>
          <w:rFonts w:ascii="Arial" w:hAnsi="Arial"/>
          <w:sz w:val="24"/>
        </w:rPr>
        <w:t>6.1.7</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1CDCEFBE"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53D08">
        <w:rPr>
          <w:rFonts w:ascii="Arial" w:hAnsi="Arial"/>
          <w:sz w:val="24"/>
        </w:rPr>
        <w:t xml:space="preserve">Handling of multiple numerologies in </w:t>
      </w:r>
      <w:proofErr w:type="spellStart"/>
      <w:r w:rsidR="00853D08">
        <w:rPr>
          <w:rFonts w:ascii="Arial" w:hAnsi="Arial"/>
          <w:sz w:val="24"/>
        </w:rPr>
        <w:t>FeMBMS</w:t>
      </w:r>
      <w:proofErr w:type="spellEnd"/>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1AC4EF3D" w14:textId="57F41C7E" w:rsidR="00536814" w:rsidRDefault="00853D08" w:rsidP="003570F9">
      <w:pPr>
        <w:jc w:val="both"/>
      </w:pPr>
      <w:r>
        <w:t xml:space="preserve">During Rel-14, two new numerologies were introduced for </w:t>
      </w:r>
      <w:proofErr w:type="spellStart"/>
      <w:r>
        <w:t>eMBMS</w:t>
      </w:r>
      <w:proofErr w:type="spellEnd"/>
      <w:r>
        <w:t xml:space="preserve"> reception: 7.5kHz and 1.25kHz</w:t>
      </w:r>
      <w:r w:rsidR="009E7EB4">
        <w:t xml:space="preserve">. </w:t>
      </w:r>
      <w:r w:rsidR="00690A8E">
        <w:t xml:space="preserve">The processing of these numerologies </w:t>
      </w:r>
      <w:proofErr w:type="gramStart"/>
      <w:r w:rsidR="00690A8E">
        <w:t>require</w:t>
      </w:r>
      <w:proofErr w:type="gramEnd"/>
      <w:r w:rsidR="00690A8E">
        <w:t xml:space="preserve"> larger DFTs (2 and 12 times larger for 7.5 and 1.25, respectively). Thus, processing carriers with MBMS numerologies may require larger computational complexity than Rel-13 MBMS or unicast (15kHz numerology).</w:t>
      </w:r>
    </w:p>
    <w:p w14:paraId="5C3C8B82" w14:textId="103F04A9" w:rsidR="00690A8E" w:rsidRDefault="00690A8E" w:rsidP="003570F9">
      <w:pPr>
        <w:jc w:val="both"/>
      </w:pPr>
      <w:r>
        <w:t>In this contribution we present our views on addressing this issue, mainly by the introduction of explicit baseband capabilities for MBMS and the signaling of MBMS numerology in MBMS interest indicator.</w:t>
      </w:r>
    </w:p>
    <w:p w14:paraId="1F6FFDD3" w14:textId="77777777" w:rsidR="00853D08" w:rsidRDefault="00853D08" w:rsidP="003570F9">
      <w:pPr>
        <w:jc w:val="both"/>
      </w:pPr>
    </w:p>
    <w:p w14:paraId="5905467E" w14:textId="635CDEE1" w:rsidR="00690A8E" w:rsidRDefault="00690A8E" w:rsidP="00690A8E">
      <w:pPr>
        <w:pStyle w:val="Heading1"/>
      </w:pPr>
      <w:r>
        <w:t xml:space="preserve">Baseband capability for </w:t>
      </w:r>
      <w:proofErr w:type="spellStart"/>
      <w:r>
        <w:t>FeMBMS</w:t>
      </w:r>
      <w:proofErr w:type="spellEnd"/>
    </w:p>
    <w:p w14:paraId="7CDF491B" w14:textId="38C951C7" w:rsidR="00690A8E" w:rsidRDefault="00690A8E" w:rsidP="00690A8E">
      <w:pPr>
        <w:rPr>
          <w:lang w:val="en-GB"/>
        </w:rPr>
      </w:pPr>
      <w:r>
        <w:rPr>
          <w:lang w:val="en-GB"/>
        </w:rPr>
        <w:t xml:space="preserve">For the two new numerologies, the </w:t>
      </w:r>
      <w:r w:rsidR="00035F72">
        <w:rPr>
          <w:lang w:val="en-GB"/>
        </w:rPr>
        <w:t>D</w:t>
      </w:r>
      <w:r>
        <w:rPr>
          <w:lang w:val="en-GB"/>
        </w:rPr>
        <w:t>FT size is increased with respect to legacy numerologies:</w:t>
      </w:r>
    </w:p>
    <w:p w14:paraId="3C5B8DA5" w14:textId="70468437" w:rsidR="00690A8E" w:rsidRDefault="00690A8E" w:rsidP="00690A8E">
      <w:pPr>
        <w:rPr>
          <w:lang w:val="en-GB"/>
        </w:rPr>
      </w:pPr>
      <w:r>
        <w:rPr>
          <w:lang w:val="en-GB"/>
        </w:rPr>
        <w:t>- 15kHz numerology: 2k DFT</w:t>
      </w:r>
    </w:p>
    <w:p w14:paraId="5C4B1CD4" w14:textId="5A3F43B1" w:rsidR="00690A8E" w:rsidRDefault="00690A8E" w:rsidP="00690A8E">
      <w:pPr>
        <w:rPr>
          <w:lang w:val="en-GB"/>
        </w:rPr>
      </w:pPr>
      <w:r>
        <w:rPr>
          <w:lang w:val="en-GB"/>
        </w:rPr>
        <w:t>- 7.5kHz numerology: 4k DFT</w:t>
      </w:r>
    </w:p>
    <w:p w14:paraId="4814C1DB" w14:textId="6226F071" w:rsidR="00690A8E" w:rsidRDefault="00690A8E" w:rsidP="00690A8E">
      <w:pPr>
        <w:rPr>
          <w:lang w:val="en-GB"/>
        </w:rPr>
      </w:pPr>
      <w:r>
        <w:rPr>
          <w:lang w:val="en-GB"/>
        </w:rPr>
        <w:t>- 1.25kHz numerology: 24k DFT</w:t>
      </w:r>
    </w:p>
    <w:p w14:paraId="0AE2FDFD" w14:textId="5879F147" w:rsidR="00690A8E" w:rsidRDefault="00690A8E" w:rsidP="00690A8E">
      <w:pPr>
        <w:rPr>
          <w:lang w:val="en-GB"/>
        </w:rPr>
      </w:pPr>
      <w:r>
        <w:rPr>
          <w:lang w:val="en-GB"/>
        </w:rPr>
        <w:t xml:space="preserve">There are many reasons why processing a carrier with </w:t>
      </w:r>
      <w:proofErr w:type="spellStart"/>
      <w:r>
        <w:rPr>
          <w:lang w:val="en-GB"/>
        </w:rPr>
        <w:t>FeMBMS</w:t>
      </w:r>
      <w:proofErr w:type="spellEnd"/>
      <w:r>
        <w:rPr>
          <w:lang w:val="en-GB"/>
        </w:rPr>
        <w:t xml:space="preserve"> numerology may require higher computational complexity, depending on the particular receive architecture and other implementation details. One of these reasons is an increase in memory requirements (e.g. DFT buffer) due to having to store a larger number of samples before processing them (12 times longer for 1.25khz numerology with respect to 15kHz numerology).</w:t>
      </w:r>
    </w:p>
    <w:p w14:paraId="592A0409" w14:textId="6BB35BCF" w:rsidR="00690A8E" w:rsidRDefault="00690A8E" w:rsidP="00690A8E">
      <w:pPr>
        <w:rPr>
          <w:b/>
          <w:lang w:val="en-GB"/>
        </w:rPr>
      </w:pPr>
      <w:r w:rsidRPr="00690A8E">
        <w:rPr>
          <w:b/>
          <w:u w:val="single"/>
          <w:lang w:val="en-GB"/>
        </w:rPr>
        <w:t>Observation 1:</w:t>
      </w:r>
      <w:r>
        <w:rPr>
          <w:b/>
          <w:lang w:val="en-GB"/>
        </w:rPr>
        <w:t xml:space="preserve"> Processing of carriers with subframes with 7.5 or 1.25kHz numerology require more computational complexity than processing 15kHz numerology.</w:t>
      </w:r>
    </w:p>
    <w:p w14:paraId="5AD60C9C" w14:textId="5C28C243" w:rsidR="00690A8E" w:rsidRPr="00690A8E" w:rsidRDefault="00690A8E" w:rsidP="00690A8E">
      <w:pPr>
        <w:rPr>
          <w:lang w:val="en-GB"/>
        </w:rPr>
      </w:pPr>
      <w:r w:rsidRPr="00690A8E">
        <w:rPr>
          <w:lang w:val="en-GB"/>
        </w:rPr>
        <w:t>For e</w:t>
      </w:r>
      <w:r>
        <w:rPr>
          <w:lang w:val="en-GB"/>
        </w:rPr>
        <w:t xml:space="preserve">xample, a UE may be able to support 5 DL CC @ 15kHz simultaneously, using 100% of the RF and baseband resources. In that case, if one of the CC is changed to 7.5kHz, </w:t>
      </w:r>
      <w:r w:rsidR="00202241">
        <w:rPr>
          <w:lang w:val="en-GB"/>
        </w:rPr>
        <w:t xml:space="preserve">the UE may not be able to have an additional 4CC (e.g. 1CC at 7.5 and 4 CC at 15kHz) because of not having enough computational resources or memory to perform the larger DFT </w:t>
      </w:r>
      <w:r w:rsidR="00035F72">
        <w:rPr>
          <w:lang w:val="en-GB"/>
        </w:rPr>
        <w:t>one CC while doing smaller DFTs in the other CC</w:t>
      </w:r>
      <w:r w:rsidR="00202241">
        <w:rPr>
          <w:lang w:val="en-GB"/>
        </w:rPr>
        <w:t>. Thus, it is necessary to introduce an explicit baseband capability that captures the effect of having carriers of different numerologies.</w:t>
      </w:r>
    </w:p>
    <w:p w14:paraId="562DA103" w14:textId="1437559B" w:rsidR="00690A8E" w:rsidRDefault="00E36FD9" w:rsidP="00690A8E">
      <w:pPr>
        <w:rPr>
          <w:lang w:val="en-GB"/>
        </w:rPr>
      </w:pPr>
      <w:r>
        <w:rPr>
          <w:lang w:val="en-GB"/>
        </w:rPr>
        <w:t>In general, the “amount of baseband resources” used by one CC are affected by the following:</w:t>
      </w:r>
    </w:p>
    <w:p w14:paraId="29DBE2B8" w14:textId="005FACE3" w:rsidR="00E36FD9" w:rsidRDefault="00E36FD9" w:rsidP="00690A8E">
      <w:pPr>
        <w:rPr>
          <w:lang w:val="en-GB"/>
        </w:rPr>
      </w:pPr>
      <w:r>
        <w:rPr>
          <w:lang w:val="en-GB"/>
        </w:rPr>
        <w:t xml:space="preserve">- Bandwidth of the CC </w:t>
      </w:r>
      <w:r w:rsidRPr="00E36FD9">
        <w:rPr>
          <w:lang w:val="en-GB"/>
        </w:rPr>
        <w:sym w:font="Wingdings" w:char="F0E8"/>
      </w:r>
      <w:r>
        <w:rPr>
          <w:lang w:val="en-GB"/>
        </w:rPr>
        <w:t xml:space="preserve"> The more bandwidth, the higher the resources the UE needs to process the CC</w:t>
      </w:r>
    </w:p>
    <w:p w14:paraId="62A067D0" w14:textId="63FE5387" w:rsidR="00E36FD9" w:rsidRDefault="00E36FD9" w:rsidP="00690A8E">
      <w:pPr>
        <w:rPr>
          <w:lang w:val="en-GB"/>
        </w:rPr>
      </w:pPr>
      <w:r>
        <w:rPr>
          <w:lang w:val="en-GB"/>
        </w:rPr>
        <w:t xml:space="preserve">- Number of antennas </w:t>
      </w:r>
      <w:r w:rsidRPr="00E36FD9">
        <w:rPr>
          <w:lang w:val="en-GB"/>
        </w:rPr>
        <w:sym w:font="Wingdings" w:char="F0E8"/>
      </w:r>
      <w:r>
        <w:rPr>
          <w:lang w:val="en-GB"/>
        </w:rPr>
        <w:t xml:space="preserve"> The more receive chains the UE has, the higher number of operations (e.g. DFT) the UE has to perform per subframe.</w:t>
      </w:r>
    </w:p>
    <w:p w14:paraId="2ED75D27" w14:textId="441A471A" w:rsidR="00E36FD9" w:rsidRDefault="00E36FD9" w:rsidP="00690A8E">
      <w:pPr>
        <w:rPr>
          <w:lang w:val="en-GB"/>
        </w:rPr>
      </w:pPr>
      <w:r>
        <w:rPr>
          <w:lang w:val="en-GB"/>
        </w:rPr>
        <w:t xml:space="preserve">- Numerology </w:t>
      </w:r>
      <w:r w:rsidRPr="00E36FD9">
        <w:rPr>
          <w:lang w:val="en-GB"/>
        </w:rPr>
        <w:sym w:font="Wingdings" w:char="F0E8"/>
      </w:r>
      <w:r>
        <w:rPr>
          <w:lang w:val="en-GB"/>
        </w:rPr>
        <w:t xml:space="preserve"> As explained above, for smaller subcarrier spacing the processing complexity is increased.</w:t>
      </w:r>
    </w:p>
    <w:p w14:paraId="3F26874A" w14:textId="0415C795" w:rsidR="00E36FD9" w:rsidRDefault="00E36FD9" w:rsidP="00690A8E">
      <w:pPr>
        <w:rPr>
          <w:lang w:val="en-GB"/>
        </w:rPr>
      </w:pPr>
    </w:p>
    <w:p w14:paraId="52964A49" w14:textId="1DC5806F" w:rsidR="00562E90" w:rsidRDefault="00562E90" w:rsidP="00690A8E">
      <w:pPr>
        <w:rPr>
          <w:lang w:val="en-GB"/>
        </w:rPr>
      </w:pPr>
      <w:r>
        <w:rPr>
          <w:lang w:val="en-GB"/>
        </w:rPr>
        <w:lastRenderedPageBreak/>
        <w:t>In general, for the first two (BW, number of antennas), the increase in baseband complexity can be assumed to be linear with these. For the third one, there can be a variety of scaling factors depending e.g. on the pipeline architecture of the UE, or on whether the limitation is in the DFT operation, the DFT buffer, etc.</w:t>
      </w:r>
    </w:p>
    <w:p w14:paraId="4AC51559" w14:textId="38920EAD" w:rsidR="00562E90" w:rsidRDefault="00562E90" w:rsidP="00690A8E">
      <w:pPr>
        <w:rPr>
          <w:lang w:val="en-GB"/>
        </w:rPr>
      </w:pPr>
      <w:r>
        <w:rPr>
          <w:lang w:val="en-GB"/>
        </w:rPr>
        <w:t>We propose a signalling scheme as follows. The UE would report the following:</w:t>
      </w:r>
    </w:p>
    <w:p w14:paraId="5649CC0D" w14:textId="1CC5AAEE" w:rsidR="00562E90" w:rsidRDefault="00562E90" w:rsidP="00562E90">
      <w:pPr>
        <w:pStyle w:val="ListParagraph"/>
        <w:numPr>
          <w:ilvl w:val="0"/>
          <w:numId w:val="10"/>
        </w:numPr>
        <w:rPr>
          <w:lang w:val="en-GB"/>
        </w:rPr>
      </w:pPr>
      <w:r w:rsidRPr="00562E90">
        <w:rPr>
          <w:i/>
          <w:lang w:val="en-GB"/>
        </w:rPr>
        <w:t>T</w:t>
      </w:r>
      <w:r>
        <w:rPr>
          <w:lang w:val="en-GB"/>
        </w:rPr>
        <w:t>: Maximum “baseband bandwidth” the UE is able to process</w:t>
      </w:r>
    </w:p>
    <w:p w14:paraId="663B37E9" w14:textId="7FF82C2D" w:rsidR="00562E90" w:rsidRPr="00562E90" w:rsidRDefault="007A084C" w:rsidP="00562E90">
      <w:pPr>
        <w:pStyle w:val="ListParagraph"/>
        <w:numPr>
          <w:ilvl w:val="0"/>
          <w:numId w:val="10"/>
        </w:numPr>
        <w:rPr>
          <w:lang w:val="en-GB"/>
        </w:rPr>
      </w:pPr>
      <m:oMath>
        <m:sSup>
          <m:sSupPr>
            <m:ctrlPr>
              <w:rPr>
                <w:rFonts w:ascii="Cambria Math" w:hAnsi="Cambria Math"/>
                <w:i/>
                <w:iCs/>
              </w:rPr>
            </m:ctrlPr>
          </m:sSupPr>
          <m:e>
            <m:r>
              <w:rPr>
                <w:rFonts w:ascii="Cambria Math" w:hAnsi="Cambria Math"/>
              </w:rPr>
              <m:t>A</m:t>
            </m:r>
          </m:e>
          <m:sup>
            <m:r>
              <w:rPr>
                <w:rFonts w:ascii="Cambria Math" w:hAnsi="Cambria Math"/>
              </w:rPr>
              <m:t>(1.25</m:t>
            </m:r>
          </m:sup>
        </m:sSup>
      </m:oMath>
      <w:r w:rsidR="00562E90">
        <w:rPr>
          <w:iCs/>
        </w:rPr>
        <w:t>,</w:t>
      </w:r>
      <m:oMath>
        <m:r>
          <w:rPr>
            <w:rFonts w:ascii="Cambria Math" w:hAnsi="Cambria Math"/>
          </w:rPr>
          <m:t xml:space="preserve"> </m:t>
        </m:r>
        <m:sSup>
          <m:sSupPr>
            <m:ctrlPr>
              <w:rPr>
                <w:rFonts w:ascii="Cambria Math" w:hAnsi="Cambria Math"/>
                <w:i/>
                <w:iCs/>
              </w:rPr>
            </m:ctrlPr>
          </m:sSupPr>
          <m:e>
            <m:r>
              <w:rPr>
                <w:rFonts w:ascii="Cambria Math" w:hAnsi="Cambria Math"/>
              </w:rPr>
              <m:t>A</m:t>
            </m:r>
          </m:e>
          <m:sup>
            <m:r>
              <w:rPr>
                <w:rFonts w:ascii="Cambria Math" w:hAnsi="Cambria Math"/>
              </w:rPr>
              <m:t>(7.5</m:t>
            </m:r>
          </m:sup>
        </m:sSup>
      </m:oMath>
      <w:r w:rsidR="00562E90">
        <w:rPr>
          <w:iCs/>
        </w:rPr>
        <w:t>: Scaling factor for processing one unit of bandwidth of 7.5/1.25kHz with respect to one unit of bandwidth of 15kHz.</w:t>
      </w:r>
    </w:p>
    <w:p w14:paraId="60C046AD" w14:textId="61769291" w:rsidR="00690A8E" w:rsidRDefault="00690A8E" w:rsidP="00690A8E">
      <w:pPr>
        <w:rPr>
          <w:lang w:val="en-GB"/>
        </w:rPr>
      </w:pPr>
    </w:p>
    <w:p w14:paraId="1CE1BCA4" w14:textId="11453983" w:rsidR="00562E90" w:rsidRDefault="00562E90" w:rsidP="00690A8E">
      <w:pPr>
        <w:rPr>
          <w:lang w:val="en-GB"/>
        </w:rPr>
      </w:pPr>
      <w:r>
        <w:rPr>
          <w:lang w:val="en-GB"/>
        </w:rPr>
        <w:t>Then, the CA configuration would need to meet the following constraint:</w:t>
      </w:r>
    </w:p>
    <w:p w14:paraId="36D6A26D" w14:textId="5C98DEF8" w:rsidR="00562E90" w:rsidRPr="00562E90" w:rsidRDefault="00562E90" w:rsidP="00562E90">
      <m:oMathPara>
        <m:oMathParaPr>
          <m:jc m:val="centerGroup"/>
        </m:oMathParaPr>
        <m:oMath>
          <m:r>
            <w:rPr>
              <w:rFonts w:ascii="Cambria Math" w:hAnsi="Cambria Math"/>
            </w:rPr>
            <m:t>T&gt;</m:t>
          </m:r>
          <m:nary>
            <m:naryPr>
              <m:chr m:val="∑"/>
              <m:ctrlPr>
                <w:rPr>
                  <w:rFonts w:ascii="Cambria Math" w:hAnsi="Cambria Math"/>
                  <w:i/>
                  <w:iCs/>
                  <w:lang w:val="pt-BR"/>
                </w:rPr>
              </m:ctrlPr>
            </m:naryPr>
            <m:sub>
              <m:r>
                <w:rPr>
                  <w:rFonts w:ascii="Cambria Math" w:hAnsi="Cambria Math"/>
                </w:rPr>
                <m:t>c</m:t>
              </m:r>
              <m:r>
                <w:rPr>
                  <w:rFonts w:ascii="Cambria Math" w:hAnsi="Cambria Math"/>
                  <w:lang w:val="pt-BR"/>
                </w:rPr>
                <m:t>=1</m:t>
              </m:r>
            </m:sub>
            <m:sup>
              <m:r>
                <w:rPr>
                  <w:rFonts w:ascii="Cambria Math" w:hAnsi="Cambria Math"/>
                </w:rPr>
                <m:t>C</m:t>
              </m:r>
            </m:sup>
            <m:e>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b>
                        <m:sSubPr>
                          <m:ctrlPr>
                            <w:rPr>
                              <w:rFonts w:ascii="Cambria Math" w:hAnsi="Cambria Math"/>
                              <w:i/>
                              <w:iCs/>
                            </w:rPr>
                          </m:ctrlPr>
                        </m:sSubPr>
                        <m:e>
                          <m:r>
                            <w:rPr>
                              <w:rFonts w:ascii="Cambria Math" w:hAnsi="Cambria Math"/>
                            </w:rPr>
                            <m:t>R</m:t>
                          </m:r>
                        </m:e>
                        <m:sub>
                          <m:r>
                            <w:rPr>
                              <w:rFonts w:ascii="Cambria Math" w:hAnsi="Cambria Math"/>
                            </w:rPr>
                            <m:t>c</m:t>
                          </m:r>
                        </m:sub>
                      </m:sSub>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(7.5</m:t>
                          </m:r>
                        </m:sup>
                      </m:sSup>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(7.5kHz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(1.25</m:t>
                          </m:r>
                        </m:sup>
                      </m:sSup>
                      <m:r>
                        <w:rPr>
                          <w:rFonts w:ascii="Cambria Math" w:hAnsi="Cambria Math"/>
                        </w:rPr>
                        <m:t> 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(1.25kHz </m:t>
                  </m:r>
                </m:sup>
              </m:sSubSup>
              <m:r>
                <w:rPr>
                  <w:rFonts w:ascii="Cambria Math" w:hAnsi="Cambria Math"/>
                </w:rPr>
                <m:t>)</m:t>
              </m:r>
            </m:e>
          </m:nary>
        </m:oMath>
      </m:oMathPara>
    </w:p>
    <w:p w14:paraId="1A2654B9" w14:textId="2A3DDDD4" w:rsidR="00562E90" w:rsidRDefault="00562E90" w:rsidP="00690A8E">
      <w:pPr>
        <w:rPr>
          <w:lang w:val="en-GB"/>
        </w:rPr>
      </w:pPr>
      <w:r>
        <w:rPr>
          <w:lang w:val="en-GB"/>
        </w:rPr>
        <w:t>Where:</w:t>
      </w:r>
    </w:p>
    <w:p w14:paraId="2273C59D" w14:textId="2806C4FB" w:rsidR="00562E90" w:rsidRDefault="00562E90" w:rsidP="00562E90">
      <w:pPr>
        <w:pStyle w:val="ListParagraph"/>
        <w:numPr>
          <w:ilvl w:val="0"/>
          <w:numId w:val="11"/>
        </w:numPr>
        <w:rPr>
          <w:lang w:val="en-GB"/>
        </w:rPr>
      </w:pPr>
      <w:r w:rsidRPr="00562E90">
        <w:rPr>
          <w:i/>
          <w:lang w:val="en-GB"/>
        </w:rPr>
        <w:t>C</w:t>
      </w:r>
      <w:r>
        <w:rPr>
          <w:lang w:val="en-GB"/>
        </w:rPr>
        <w:t xml:space="preserve"> is the total number of CC configured for the UE</w:t>
      </w:r>
    </w:p>
    <w:p w14:paraId="26BFA747" w14:textId="1E89D614" w:rsidR="00562E90" w:rsidRPr="00562E90" w:rsidRDefault="007A084C" w:rsidP="00562E90">
      <w:pPr>
        <w:pStyle w:val="ListParagraph"/>
        <w:numPr>
          <w:ilvl w:val="0"/>
          <w:numId w:val="11"/>
        </w:numPr>
        <w:rPr>
          <w:lang w:val="en-GB"/>
        </w:rPr>
      </w:pPr>
      <m:oMath>
        <m:sSub>
          <m:sSubPr>
            <m:ctrlPr>
              <w:rPr>
                <w:rFonts w:ascii="Cambria Math" w:hAnsi="Cambria Math"/>
                <w:i/>
                <w:iCs/>
              </w:rPr>
            </m:ctrlPr>
          </m:sSubPr>
          <m:e>
            <m:r>
              <w:rPr>
                <w:rFonts w:ascii="Cambria Math" w:hAnsi="Cambria Math"/>
              </w:rPr>
              <m:t>B</m:t>
            </m:r>
          </m:e>
          <m:sub>
            <m:r>
              <w:rPr>
                <w:rFonts w:ascii="Cambria Math" w:hAnsi="Cambria Math"/>
              </w:rPr>
              <m:t>c</m:t>
            </m:r>
          </m:sub>
        </m:sSub>
      </m:oMath>
      <w:r w:rsidR="00562E90">
        <w:rPr>
          <w:iCs/>
        </w:rPr>
        <w:t xml:space="preserve"> is the bandwidth (in number of PRBs) for carrier </w:t>
      </w:r>
      <w:r w:rsidR="00562E90" w:rsidRPr="00562E90">
        <w:rPr>
          <w:i/>
          <w:iCs/>
        </w:rPr>
        <w:t>c</w:t>
      </w:r>
    </w:p>
    <w:p w14:paraId="28E68114" w14:textId="781BB516" w:rsidR="00562E90" w:rsidRPr="00562E90" w:rsidRDefault="007A084C" w:rsidP="00562E90">
      <w:pPr>
        <w:pStyle w:val="ListParagraph"/>
        <w:numPr>
          <w:ilvl w:val="0"/>
          <w:numId w:val="11"/>
        </w:numPr>
        <w:rPr>
          <w:lang w:val="en-GB"/>
        </w:rPr>
      </w:pPr>
      <m:oMath>
        <m:sSub>
          <m:sSubPr>
            <m:ctrlPr>
              <w:rPr>
                <w:rFonts w:ascii="Cambria Math" w:hAnsi="Cambria Math"/>
                <w:i/>
                <w:iCs/>
              </w:rPr>
            </m:ctrlPr>
          </m:sSubPr>
          <m:e>
            <m:r>
              <w:rPr>
                <w:rFonts w:ascii="Cambria Math" w:hAnsi="Cambria Math"/>
              </w:rPr>
              <m:t>R</m:t>
            </m:r>
          </m:e>
          <m:sub>
            <m:r>
              <w:rPr>
                <w:rFonts w:ascii="Cambria Math" w:hAnsi="Cambria Math"/>
              </w:rPr>
              <m:t>c</m:t>
            </m:r>
          </m:sub>
        </m:sSub>
      </m:oMath>
      <w:r w:rsidR="00562E90">
        <w:rPr>
          <w:iCs/>
        </w:rPr>
        <w:t xml:space="preserve"> is the </w:t>
      </w:r>
      <w:r w:rsidR="00741452">
        <w:rPr>
          <w:iCs/>
        </w:rPr>
        <w:t>number of spatial layers supported in that CC</w:t>
      </w:r>
    </w:p>
    <w:p w14:paraId="23763D2B" w14:textId="35975141" w:rsidR="00562E90" w:rsidRPr="00562E90" w:rsidRDefault="007A084C" w:rsidP="00562E90">
      <w:pPr>
        <w:pStyle w:val="ListParagraph"/>
        <w:numPr>
          <w:ilvl w:val="0"/>
          <w:numId w:val="11"/>
        </w:numPr>
        <w:rPr>
          <w:lang w:val="en-GB"/>
        </w:rPr>
      </w:pP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(XkHz</m:t>
            </m:r>
          </m:sup>
        </m:sSubSup>
        <m:r>
          <w:rPr>
            <w:rFonts w:ascii="Cambria Math" w:hAnsi="Cambria Math"/>
          </w:rPr>
          <m:t>=1</m:t>
        </m:r>
      </m:oMath>
      <w:r w:rsidR="00562E90">
        <w:rPr>
          <w:iCs/>
        </w:rPr>
        <w:t xml:space="preserve"> if carrier c is XkHz subcarrier spacing, and 0 otherwise</w:t>
      </w:r>
    </w:p>
    <w:p w14:paraId="1F0BD30A" w14:textId="52B01E87" w:rsidR="00690A8E" w:rsidRDefault="00690A8E" w:rsidP="00690A8E">
      <w:pPr>
        <w:rPr>
          <w:lang w:val="en-GB"/>
        </w:rPr>
      </w:pPr>
    </w:p>
    <w:p w14:paraId="49900E10" w14:textId="65A2F3A4" w:rsidR="00291B6F" w:rsidRDefault="00291B6F" w:rsidP="00690A8E">
      <w:pPr>
        <w:rPr>
          <w:lang w:val="en-GB"/>
        </w:rPr>
      </w:pPr>
      <w:r>
        <w:rPr>
          <w:lang w:val="en-GB"/>
        </w:rPr>
        <w:t>Some notes on the above method:</w:t>
      </w:r>
    </w:p>
    <w:p w14:paraId="3769D430" w14:textId="6346FC1C" w:rsidR="00291B6F" w:rsidRDefault="00291B6F" w:rsidP="00690A8E">
      <w:pPr>
        <w:rPr>
          <w:iCs/>
        </w:rPr>
      </w:pPr>
      <w:r>
        <w:rPr>
          <w:lang w:val="en-GB"/>
        </w:rPr>
        <w:t xml:space="preserve">- There can be TDM of different numerologies in a given CC. The “reference subcarrier spacing” that determines </w:t>
      </w: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(XkHz</m:t>
            </m:r>
          </m:sup>
        </m:sSubSup>
      </m:oMath>
      <w:r>
        <w:rPr>
          <w:iCs/>
        </w:rPr>
        <w:t xml:space="preserve"> is the “worst case” numerology (i.e., 15&gt;7.5&gt;1.25 from best to worst) the UE is receiving in that CC. For example, if a UE is configured with a CC that is transmitting 1.25kHz PMCH, but it is not receiving it, it should set</w:t>
      </w:r>
      <w:r>
        <w:rPr>
          <w:lang w:val="en-GB"/>
        </w:rPr>
        <w:t xml:space="preserve"> </w:t>
      </w: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(15kHz</m:t>
            </m:r>
          </m:sup>
        </m:sSubSup>
        <m:r>
          <w:rPr>
            <w:rFonts w:ascii="Cambria Math" w:hAnsi="Cambria Math"/>
          </w:rPr>
          <m:t>=1</m:t>
        </m:r>
      </m:oMath>
      <w:r>
        <w:rPr>
          <w:iCs/>
        </w:rPr>
        <w:t>.</w:t>
      </w:r>
      <w:r w:rsidR="00F76924">
        <w:rPr>
          <w:iCs/>
        </w:rPr>
        <w:t xml:space="preserve"> </w:t>
      </w:r>
      <w:r w:rsidR="00F95641">
        <w:rPr>
          <w:iCs/>
        </w:rPr>
        <w:t>The</w:t>
      </w:r>
      <w:r w:rsidR="00F76924">
        <w:rPr>
          <w:iCs/>
        </w:rPr>
        <w:t xml:space="preserve"> TDM nature of the numerology may have been captured in a more complicated way (e.g. introducing “processing windows”), but for simplicity we chose to take into account the “worst case numerology” only.</w:t>
      </w:r>
    </w:p>
    <w:p w14:paraId="68D97C21" w14:textId="6D5F8B02" w:rsidR="00291B6F" w:rsidRDefault="00291B6F" w:rsidP="00690A8E">
      <w:pPr>
        <w:rPr>
          <w:iCs/>
        </w:rPr>
      </w:pPr>
      <w:r>
        <w:rPr>
          <w:lang w:val="en-GB"/>
        </w:rPr>
        <w:t xml:space="preserve">- The parameter </w:t>
      </w:r>
      <m:oMath>
        <m:sSub>
          <m:sSubPr>
            <m:ctrlPr>
              <w:rPr>
                <w:rFonts w:ascii="Cambria Math" w:hAnsi="Cambria Math"/>
                <w:i/>
                <w:iCs/>
              </w:rPr>
            </m:ctrlPr>
          </m:sSubPr>
          <m:e>
            <m:r>
              <w:rPr>
                <w:rFonts w:ascii="Cambria Math" w:hAnsi="Cambria Math"/>
              </w:rPr>
              <m:t>R</m:t>
            </m:r>
          </m:e>
          <m:sub>
            <m:r>
              <w:rPr>
                <w:rFonts w:ascii="Cambria Math" w:hAnsi="Cambria Math"/>
              </w:rPr>
              <m:t>c</m:t>
            </m:r>
          </m:sub>
        </m:sSub>
      </m:oMath>
      <w:r>
        <w:rPr>
          <w:iCs/>
        </w:rPr>
        <w:t xml:space="preserve"> only affects the 15kHz CC. For 7.5 and 1.25 it is not included. This parameter can be captured on the </w:t>
      </w:r>
      <w:r>
        <w:rPr>
          <w:i/>
          <w:iCs/>
        </w:rPr>
        <w:t>A</w:t>
      </w:r>
      <w:r>
        <w:rPr>
          <w:iCs/>
        </w:rPr>
        <w:t xml:space="preserve"> parameters</w:t>
      </w:r>
      <w:r w:rsidR="00741452">
        <w:rPr>
          <w:iCs/>
        </w:rPr>
        <w:t xml:space="preserve"> – although not in a band-specific manner</w:t>
      </w:r>
      <w:r>
        <w:rPr>
          <w:iCs/>
        </w:rPr>
        <w:t>. The reason not to include it is that the UE, even when supporting 4Rx in a given band, can choose to operate in 2Rx mode (saving power and computational resources), given that the MBMS cell planning is likely to be done for UEs with 2Rx.</w:t>
      </w:r>
    </w:p>
    <w:p w14:paraId="2C22CC9E" w14:textId="4DCCE23A" w:rsidR="00291B6F" w:rsidRDefault="00291B6F" w:rsidP="00690A8E">
      <w:pPr>
        <w:rPr>
          <w:lang w:val="en-GB"/>
        </w:rPr>
      </w:pPr>
    </w:p>
    <w:p w14:paraId="480FBD09" w14:textId="1CBC4CC5" w:rsidR="00291B6F" w:rsidRDefault="00291B6F" w:rsidP="00690A8E">
      <w:pPr>
        <w:rPr>
          <w:b/>
          <w:lang w:val="en-GB"/>
        </w:rPr>
      </w:pPr>
      <w:r w:rsidRPr="00291B6F">
        <w:rPr>
          <w:b/>
          <w:u w:val="single"/>
          <w:lang w:val="en-GB"/>
        </w:rPr>
        <w:t>Proposal 1:</w:t>
      </w:r>
      <w:r>
        <w:rPr>
          <w:b/>
          <w:u w:val="single"/>
          <w:lang w:val="en-GB"/>
        </w:rPr>
        <w:t xml:space="preserve"> </w:t>
      </w:r>
      <w:r>
        <w:rPr>
          <w:b/>
          <w:lang w:val="en-GB"/>
        </w:rPr>
        <w:t>Introduce explicit baseband capability for MBMS</w:t>
      </w:r>
      <w:r w:rsidR="00F76924">
        <w:rPr>
          <w:b/>
          <w:lang w:val="en-GB"/>
        </w:rPr>
        <w:t xml:space="preserve"> with the following characteristics:</w:t>
      </w:r>
    </w:p>
    <w:p w14:paraId="7ED9E021" w14:textId="6BEA313E" w:rsidR="00F76924" w:rsidRDefault="00F76924" w:rsidP="00690A8E">
      <w:pPr>
        <w:rPr>
          <w:iCs/>
        </w:rPr>
      </w:pPr>
      <w:r>
        <w:rPr>
          <w:b/>
          <w:lang w:val="en-GB"/>
        </w:rPr>
        <w:tab/>
        <w:t xml:space="preserve">- UE signals maximum supported bandwidth </w:t>
      </w:r>
      <w:r>
        <w:rPr>
          <w:b/>
          <w:i/>
          <w:lang w:val="en-GB"/>
        </w:rPr>
        <w:t>T</w:t>
      </w:r>
      <w:r>
        <w:rPr>
          <w:b/>
          <w:lang w:val="en-GB"/>
        </w:rPr>
        <w:t xml:space="preserve"> and scaling factors </w:t>
      </w:r>
      <m:oMath>
        <m:sSup>
          <m:sSupPr>
            <m:ctrlPr>
              <w:rPr>
                <w:rFonts w:ascii="Cambria Math" w:hAnsi="Cambria Math"/>
                <w:i/>
                <w:iCs/>
              </w:rPr>
            </m:ctrlPr>
          </m:sSupPr>
          <m:e>
            <m:r>
              <w:rPr>
                <w:rFonts w:ascii="Cambria Math" w:hAnsi="Cambria Math"/>
              </w:rPr>
              <m:t>A</m:t>
            </m:r>
          </m:e>
          <m:sup>
            <m:r>
              <w:rPr>
                <w:rFonts w:ascii="Cambria Math" w:hAnsi="Cambria Math"/>
              </w:rPr>
              <m:t>(1.25</m:t>
            </m:r>
          </m:sup>
        </m:sSup>
      </m:oMath>
      <w:r>
        <w:rPr>
          <w:iCs/>
        </w:rPr>
        <w:t>,</w:t>
      </w:r>
      <m:oMath>
        <m:r>
          <w:rPr>
            <w:rFonts w:ascii="Cambria Math" w:hAnsi="Cambria Math"/>
          </w:rPr>
          <m:t xml:space="preserve"> </m:t>
        </m:r>
        <m:sSup>
          <m:sSupPr>
            <m:ctrlPr>
              <w:rPr>
                <w:rFonts w:ascii="Cambria Math" w:hAnsi="Cambria Math"/>
                <w:i/>
                <w:iCs/>
              </w:rPr>
            </m:ctrlPr>
          </m:sSupPr>
          <m:e>
            <m:r>
              <w:rPr>
                <w:rFonts w:ascii="Cambria Math" w:hAnsi="Cambria Math"/>
              </w:rPr>
              <m:t>A</m:t>
            </m:r>
          </m:e>
          <m:sup>
            <m:r>
              <w:rPr>
                <w:rFonts w:ascii="Cambria Math" w:hAnsi="Cambria Math"/>
              </w:rPr>
              <m:t>(7.5</m:t>
            </m:r>
          </m:sup>
        </m:sSup>
      </m:oMath>
    </w:p>
    <w:p w14:paraId="126FFC88" w14:textId="78A2EF4C" w:rsidR="00F76924" w:rsidRDefault="00F76924" w:rsidP="00F76924">
      <w:pPr>
        <w:ind w:firstLine="288"/>
        <w:rPr>
          <w:b/>
          <w:lang w:val="en-GB"/>
        </w:rPr>
      </w:pPr>
      <w:r>
        <w:rPr>
          <w:b/>
          <w:lang w:val="en-GB"/>
        </w:rPr>
        <w:t>- The CA configuration has to meet the following constraint (with parameters as defined above):</w:t>
      </w:r>
    </w:p>
    <w:p w14:paraId="6A111405" w14:textId="2C39E12E" w:rsidR="00F76924" w:rsidRPr="00562E90" w:rsidRDefault="00F76924" w:rsidP="00F76924">
      <w:r>
        <w:rPr>
          <w:b/>
          <w:lang w:val="en-GB"/>
        </w:rPr>
        <w:tab/>
      </w:r>
      <m:oMath>
        <m:r>
          <m:rPr>
            <m:sty m:val="p"/>
          </m:rPr>
          <w:rPr>
            <w:rFonts w:ascii="Cambria Math" w:hAnsi="Cambria Math"/>
          </w:rPr>
          <w:br/>
        </m:r>
      </m:oMath>
      <m:oMathPara>
        <m:oMathParaPr>
          <m:jc m:val="centerGroup"/>
        </m:oMathParaPr>
        <m:oMath>
          <m:r>
            <w:rPr>
              <w:rFonts w:ascii="Cambria Math" w:hAnsi="Cambria Math"/>
            </w:rPr>
            <m:t>T&gt;</m:t>
          </m:r>
          <m:nary>
            <m:naryPr>
              <m:chr m:val="∑"/>
              <m:ctrlPr>
                <w:rPr>
                  <w:rFonts w:ascii="Cambria Math" w:hAnsi="Cambria Math"/>
                  <w:i/>
                  <w:iCs/>
                  <w:lang w:val="pt-BR"/>
                </w:rPr>
              </m:ctrlPr>
            </m:naryPr>
            <m:sub>
              <m:r>
                <w:rPr>
                  <w:rFonts w:ascii="Cambria Math" w:hAnsi="Cambria Math"/>
                </w:rPr>
                <m:t>c</m:t>
              </m:r>
              <m:r>
                <w:rPr>
                  <w:rFonts w:ascii="Cambria Math" w:hAnsi="Cambria Math"/>
                  <w:lang w:val="pt-BR"/>
                </w:rPr>
                <m:t>=1</m:t>
              </m:r>
            </m:sub>
            <m:sup>
              <m:r>
                <w:rPr>
                  <w:rFonts w:ascii="Cambria Math" w:hAnsi="Cambria Math"/>
                </w:rPr>
                <m:t>C</m:t>
              </m:r>
            </m:sup>
            <m:e>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b>
                        <m:sSubPr>
                          <m:ctrlPr>
                            <w:rPr>
                              <w:rFonts w:ascii="Cambria Math" w:hAnsi="Cambria Math"/>
                              <w:i/>
                              <w:iCs/>
                            </w:rPr>
                          </m:ctrlPr>
                        </m:sSubPr>
                        <m:e>
                          <m:r>
                            <w:rPr>
                              <w:rFonts w:ascii="Cambria Math" w:hAnsi="Cambria Math"/>
                            </w:rPr>
                            <m:t>R</m:t>
                          </m:r>
                        </m:e>
                        <m:sub>
                          <m:r>
                            <w:rPr>
                              <w:rFonts w:ascii="Cambria Math" w:hAnsi="Cambria Math"/>
                            </w:rPr>
                            <m:t>c</m:t>
                          </m:r>
                        </m:sub>
                      </m:sSub>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(7.5</m:t>
                          </m:r>
                        </m:sup>
                      </m:sSup>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(7.5kHz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(1.25</m:t>
                          </m:r>
                        </m:sup>
                      </m:sSup>
                      <m:r>
                        <w:rPr>
                          <w:rFonts w:ascii="Cambria Math" w:hAnsi="Cambria Math"/>
                        </w:rPr>
                        <m:t> 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(1.25kHz </m:t>
                  </m:r>
                </m:sup>
              </m:sSubSup>
              <m:r>
                <w:rPr>
                  <w:rFonts w:ascii="Cambria Math" w:hAnsi="Cambria Math"/>
                </w:rPr>
                <m:t>)</m:t>
              </m:r>
            </m:e>
          </m:nary>
        </m:oMath>
      </m:oMathPara>
    </w:p>
    <w:p w14:paraId="7D46119A" w14:textId="244F3519" w:rsidR="00F76924" w:rsidRPr="00F76924" w:rsidRDefault="00F76924" w:rsidP="00F76924">
      <w:pPr>
        <w:ind w:firstLine="288"/>
        <w:rPr>
          <w:b/>
          <w:lang w:val="en-GB"/>
        </w:rPr>
      </w:pPr>
    </w:p>
    <w:p w14:paraId="6A808625" w14:textId="2F2E7549" w:rsidR="007D7698" w:rsidRDefault="00690A8E" w:rsidP="00564597">
      <w:pPr>
        <w:pStyle w:val="Heading1"/>
      </w:pPr>
      <w:r>
        <w:t>Support of MBMS reception from other serving cells</w:t>
      </w:r>
    </w:p>
    <w:p w14:paraId="245649F0" w14:textId="2A756E79" w:rsidR="00035F72" w:rsidRDefault="00035F72" w:rsidP="00035F72">
      <w:pPr>
        <w:rPr>
          <w:lang w:val="en-GB"/>
        </w:rPr>
      </w:pPr>
      <w:r>
        <w:rPr>
          <w:lang w:val="en-GB"/>
        </w:rPr>
        <w:t xml:space="preserve">In Rel-14, the notion of “Receive-only mode” was introduced – this is, the notion that a UE can receive MBMS service from a third party </w:t>
      </w:r>
      <w:proofErr w:type="spellStart"/>
      <w:r>
        <w:rPr>
          <w:lang w:val="en-GB"/>
        </w:rPr>
        <w:t>eNB</w:t>
      </w:r>
      <w:proofErr w:type="spellEnd"/>
      <w:r>
        <w:rPr>
          <w:lang w:val="en-GB"/>
        </w:rPr>
        <w:t xml:space="preserve"> while having a unicast connection with a different </w:t>
      </w:r>
      <w:proofErr w:type="spellStart"/>
      <w:r>
        <w:rPr>
          <w:lang w:val="en-GB"/>
        </w:rPr>
        <w:t>eNB</w:t>
      </w:r>
      <w:proofErr w:type="spellEnd"/>
      <w:r>
        <w:rPr>
          <w:lang w:val="en-GB"/>
        </w:rPr>
        <w:t xml:space="preserve">. RAN2 has the notion of ‘MBMS interest indicator’ that allows a UE to tell the </w:t>
      </w:r>
      <w:proofErr w:type="spellStart"/>
      <w:r>
        <w:rPr>
          <w:lang w:val="en-GB"/>
        </w:rPr>
        <w:t>eNB</w:t>
      </w:r>
      <w:proofErr w:type="spellEnd"/>
      <w:r>
        <w:rPr>
          <w:lang w:val="en-GB"/>
        </w:rPr>
        <w:t xml:space="preserve"> that it is receiving/interested on receiving MBMS from a given frequency. The </w:t>
      </w:r>
      <w:proofErr w:type="spellStart"/>
      <w:r>
        <w:rPr>
          <w:lang w:val="en-GB"/>
        </w:rPr>
        <w:lastRenderedPageBreak/>
        <w:t>eNB</w:t>
      </w:r>
      <w:proofErr w:type="spellEnd"/>
      <w:r>
        <w:rPr>
          <w:lang w:val="en-GB"/>
        </w:rPr>
        <w:t xml:space="preserve"> can use this information to configure the UE with a given CA combination that allows the UE to keep receiving the MBMS service.</w:t>
      </w:r>
      <w:r w:rsidR="00376CB5">
        <w:rPr>
          <w:lang w:val="en-GB"/>
        </w:rPr>
        <w:t xml:space="preserve"> There are two caveats with this approach:</w:t>
      </w:r>
    </w:p>
    <w:p w14:paraId="16A27720" w14:textId="03F64042" w:rsidR="00376CB5" w:rsidRDefault="00376CB5" w:rsidP="00035F72">
      <w:pPr>
        <w:rPr>
          <w:lang w:val="en-GB"/>
        </w:rPr>
      </w:pPr>
      <w:r>
        <w:rPr>
          <w:lang w:val="en-GB"/>
        </w:rPr>
        <w:t xml:space="preserve">- In order to send MBMS interest indicator, the </w:t>
      </w:r>
      <w:proofErr w:type="spellStart"/>
      <w:r>
        <w:rPr>
          <w:lang w:val="en-GB"/>
        </w:rPr>
        <w:t>eNB</w:t>
      </w:r>
      <w:proofErr w:type="spellEnd"/>
      <w:r>
        <w:rPr>
          <w:lang w:val="en-GB"/>
        </w:rPr>
        <w:t xml:space="preserve"> has to broadcast SIB15, according to TS 36.331. If the UE is in receive-only mode with a separate </w:t>
      </w:r>
      <w:proofErr w:type="spellStart"/>
      <w:r>
        <w:rPr>
          <w:lang w:val="en-GB"/>
        </w:rPr>
        <w:t>eNB</w:t>
      </w:r>
      <w:proofErr w:type="spellEnd"/>
      <w:r>
        <w:rPr>
          <w:lang w:val="en-GB"/>
        </w:rPr>
        <w:t xml:space="preserve">, the serving </w:t>
      </w:r>
      <w:proofErr w:type="spellStart"/>
      <w:r>
        <w:rPr>
          <w:lang w:val="en-GB"/>
        </w:rPr>
        <w:t>eNB</w:t>
      </w:r>
      <w:proofErr w:type="spellEnd"/>
      <w:r>
        <w:rPr>
          <w:lang w:val="en-GB"/>
        </w:rPr>
        <w:t xml:space="preserve"> for unicast may not broadcast SIB15.</w:t>
      </w:r>
    </w:p>
    <w:p w14:paraId="030D5DAE" w14:textId="7A81EE02" w:rsidR="00035F72" w:rsidRDefault="00376CB5" w:rsidP="00035F72">
      <w:pPr>
        <w:rPr>
          <w:lang w:val="en-GB"/>
        </w:rPr>
      </w:pPr>
      <w:r>
        <w:rPr>
          <w:lang w:val="en-GB"/>
        </w:rPr>
        <w:t xml:space="preserve">- </w:t>
      </w:r>
      <w:r w:rsidR="00035F72">
        <w:rPr>
          <w:lang w:val="en-GB"/>
        </w:rPr>
        <w:t xml:space="preserve">With the introduction of new numerologies, the </w:t>
      </w:r>
      <w:proofErr w:type="spellStart"/>
      <w:r w:rsidR="00035F72">
        <w:rPr>
          <w:lang w:val="en-GB"/>
        </w:rPr>
        <w:t>eNB</w:t>
      </w:r>
      <w:proofErr w:type="spellEnd"/>
      <w:r w:rsidR="00035F72">
        <w:rPr>
          <w:lang w:val="en-GB"/>
        </w:rPr>
        <w:t xml:space="preserve"> may now know the amount of ‘baseband resources’ the UE is using for receiving MBMS. Note that, in some cases</w:t>
      </w:r>
      <w:r>
        <w:rPr>
          <w:lang w:val="en-GB"/>
        </w:rPr>
        <w:t xml:space="preserve"> (e.g. in receive-only mode)</w:t>
      </w:r>
      <w:r w:rsidR="00035F72">
        <w:rPr>
          <w:lang w:val="en-GB"/>
        </w:rPr>
        <w:t>, the network may not know the numerology of this MBMS service, since it may be controlle</w:t>
      </w:r>
      <w:r w:rsidR="00F95641">
        <w:rPr>
          <w:lang w:val="en-GB"/>
        </w:rPr>
        <w:t>d</w:t>
      </w:r>
      <w:r w:rsidR="00035F72">
        <w:rPr>
          <w:lang w:val="en-GB"/>
        </w:rPr>
        <w:t xml:space="preserve"> by a different PLMN. Thus, we propose to include numerology and bandwidth in the MBMS interest indicator, such that the </w:t>
      </w:r>
      <w:proofErr w:type="spellStart"/>
      <w:r w:rsidR="00035F72">
        <w:rPr>
          <w:lang w:val="en-GB"/>
        </w:rPr>
        <w:t>eNB</w:t>
      </w:r>
      <w:proofErr w:type="spellEnd"/>
      <w:r w:rsidR="00035F72">
        <w:rPr>
          <w:lang w:val="en-GB"/>
        </w:rPr>
        <w:t xml:space="preserve"> can accordingly configure the UE in a given CA mode while meeting the constraint described above</w:t>
      </w:r>
    </w:p>
    <w:p w14:paraId="4270F303" w14:textId="14FEADB2" w:rsidR="00035F72" w:rsidRPr="00035F72" w:rsidRDefault="00035F72" w:rsidP="00035F72">
      <w:pPr>
        <w:rPr>
          <w:b/>
          <w:lang w:val="en-GB"/>
        </w:rPr>
      </w:pPr>
      <w:r w:rsidRPr="00035F72">
        <w:rPr>
          <w:b/>
          <w:u w:val="single"/>
          <w:lang w:val="en-GB"/>
        </w:rPr>
        <w:t>Proposal 2:</w:t>
      </w:r>
      <w:r>
        <w:rPr>
          <w:b/>
          <w:lang w:val="en-GB"/>
        </w:rPr>
        <w:t xml:space="preserve"> RAN1 recommends RAN2 to include a </w:t>
      </w:r>
      <w:r w:rsidR="00376CB5">
        <w:rPr>
          <w:b/>
          <w:lang w:val="en-GB"/>
        </w:rPr>
        <w:t xml:space="preserve">mechanism to inform the serving </w:t>
      </w:r>
      <w:proofErr w:type="spellStart"/>
      <w:r w:rsidR="00376CB5">
        <w:rPr>
          <w:b/>
          <w:lang w:val="en-GB"/>
        </w:rPr>
        <w:t>eNB</w:t>
      </w:r>
      <w:proofErr w:type="spellEnd"/>
      <w:r w:rsidR="00376CB5">
        <w:rPr>
          <w:b/>
          <w:lang w:val="en-GB"/>
        </w:rPr>
        <w:t xml:space="preserve"> of the reception of MBMS services on receive only mode, and to include the numerology and bandwidth of those services (e.g. by extending MBMS interest indication).</w:t>
      </w:r>
    </w:p>
    <w:p w14:paraId="06BF21C5" w14:textId="24EC5573" w:rsidR="00035F72" w:rsidRDefault="00035F72" w:rsidP="00035F72">
      <w:pPr>
        <w:rPr>
          <w:lang w:val="en-GB"/>
        </w:rPr>
      </w:pPr>
    </w:p>
    <w:p w14:paraId="1996D6A0" w14:textId="10825559" w:rsidR="00035F72" w:rsidRDefault="00035F72" w:rsidP="00035F72">
      <w:pPr>
        <w:rPr>
          <w:lang w:val="en-GB"/>
        </w:rPr>
      </w:pPr>
      <w:r>
        <w:rPr>
          <w:lang w:val="en-GB"/>
        </w:rPr>
        <w:t xml:space="preserve">With these two proposals, the baseband limitation capabilities of UE would be fully exposed to the </w:t>
      </w:r>
      <w:proofErr w:type="spellStart"/>
      <w:r>
        <w:rPr>
          <w:lang w:val="en-GB"/>
        </w:rPr>
        <w:t>eNB</w:t>
      </w:r>
      <w:proofErr w:type="spellEnd"/>
      <w:r>
        <w:rPr>
          <w:lang w:val="en-GB"/>
        </w:rPr>
        <w:t>. This would enable efficient operation of MBMS with different numerologies, including receive-only mode. We propose to send an LS to RAN2 with these proposals so that they can incorporate the necessary RRC signalling.</w:t>
      </w:r>
    </w:p>
    <w:p w14:paraId="7310E137" w14:textId="2F11A6B3" w:rsidR="00035F72" w:rsidRDefault="00035F72" w:rsidP="00035F72">
      <w:pPr>
        <w:rPr>
          <w:b/>
          <w:lang w:val="en-GB"/>
        </w:rPr>
      </w:pPr>
      <w:r w:rsidRPr="00035F72">
        <w:rPr>
          <w:b/>
          <w:u w:val="single"/>
          <w:lang w:val="en-GB"/>
        </w:rPr>
        <w:t>Proposal 3:</w:t>
      </w:r>
      <w:r>
        <w:rPr>
          <w:b/>
          <w:lang w:val="en-GB"/>
        </w:rPr>
        <w:t xml:space="preserve"> Send LS to RAN2 with the above proposals.</w:t>
      </w:r>
    </w:p>
    <w:p w14:paraId="5334E36A" w14:textId="29824EC2" w:rsidR="00035F72" w:rsidRDefault="00035F72" w:rsidP="00035F72">
      <w:pPr>
        <w:rPr>
          <w:b/>
          <w:lang w:val="en-GB"/>
        </w:rPr>
      </w:pPr>
    </w:p>
    <w:p w14:paraId="07144158" w14:textId="77777777" w:rsidR="00035F72" w:rsidRPr="00035F72" w:rsidRDefault="00035F72" w:rsidP="00035F72">
      <w:pPr>
        <w:rPr>
          <w:b/>
          <w:lang w:val="en-GB"/>
        </w:rPr>
      </w:pPr>
    </w:p>
    <w:p w14:paraId="0CE4C0C2" w14:textId="2153490E" w:rsidR="00035F72" w:rsidRDefault="00035F72" w:rsidP="00035F72">
      <w:pPr>
        <w:pStyle w:val="Heading1"/>
      </w:pPr>
      <w:r>
        <w:t>Summary</w:t>
      </w:r>
    </w:p>
    <w:p w14:paraId="5D16DAE4" w14:textId="5954409C" w:rsidR="00035F72" w:rsidRDefault="00F95641" w:rsidP="00035F72">
      <w:pPr>
        <w:rPr>
          <w:lang w:val="en-GB"/>
        </w:rPr>
      </w:pPr>
      <w:r>
        <w:rPr>
          <w:lang w:val="en-GB"/>
        </w:rPr>
        <w:t>In this contribution, we presented our views on MBMS capability for support of multiple numerologies. We made the following proposals and observations.</w:t>
      </w:r>
    </w:p>
    <w:p w14:paraId="103F7F4F" w14:textId="7FB361DD" w:rsidR="00F95641" w:rsidRPr="00F95641" w:rsidRDefault="00F95641" w:rsidP="00035F72">
      <w:pPr>
        <w:rPr>
          <w:b/>
          <w:lang w:val="en-GB"/>
        </w:rPr>
      </w:pPr>
      <w:r w:rsidRPr="00690A8E">
        <w:rPr>
          <w:b/>
          <w:u w:val="single"/>
          <w:lang w:val="en-GB"/>
        </w:rPr>
        <w:t>Observation 1:</w:t>
      </w:r>
      <w:r>
        <w:rPr>
          <w:b/>
          <w:lang w:val="en-GB"/>
        </w:rPr>
        <w:t xml:space="preserve"> Processing of carriers with subframes with 7.5 or 1.25kHz numerology require more computational complexity than processing 15kHz numerology.</w:t>
      </w:r>
    </w:p>
    <w:p w14:paraId="4117EEFA" w14:textId="77777777" w:rsidR="00035F72" w:rsidRDefault="00035F72" w:rsidP="00035F72">
      <w:pPr>
        <w:rPr>
          <w:b/>
          <w:lang w:val="en-GB"/>
        </w:rPr>
      </w:pPr>
      <w:r w:rsidRPr="00291B6F">
        <w:rPr>
          <w:b/>
          <w:u w:val="single"/>
          <w:lang w:val="en-GB"/>
        </w:rPr>
        <w:t>Proposal 1:</w:t>
      </w:r>
      <w:r>
        <w:rPr>
          <w:b/>
          <w:u w:val="single"/>
          <w:lang w:val="en-GB"/>
        </w:rPr>
        <w:t xml:space="preserve"> </w:t>
      </w:r>
      <w:r>
        <w:rPr>
          <w:b/>
          <w:lang w:val="en-GB"/>
        </w:rPr>
        <w:t>Introduce explicit baseband capability for MBMS with the following characteristics:</w:t>
      </w:r>
    </w:p>
    <w:p w14:paraId="4E37BF64" w14:textId="77777777" w:rsidR="00035F72" w:rsidRDefault="00035F72" w:rsidP="00035F72">
      <w:pPr>
        <w:rPr>
          <w:iCs/>
        </w:rPr>
      </w:pPr>
      <w:r>
        <w:rPr>
          <w:b/>
          <w:lang w:val="en-GB"/>
        </w:rPr>
        <w:tab/>
        <w:t xml:space="preserve">- UE signals maximum supported bandwidth </w:t>
      </w:r>
      <w:r>
        <w:rPr>
          <w:b/>
          <w:i/>
          <w:lang w:val="en-GB"/>
        </w:rPr>
        <w:t>T</w:t>
      </w:r>
      <w:r>
        <w:rPr>
          <w:b/>
          <w:lang w:val="en-GB"/>
        </w:rPr>
        <w:t xml:space="preserve"> and scaling factors </w:t>
      </w:r>
      <m:oMath>
        <m:sSup>
          <m:sSupPr>
            <m:ctrlPr>
              <w:rPr>
                <w:rFonts w:ascii="Cambria Math" w:hAnsi="Cambria Math"/>
                <w:i/>
                <w:iCs/>
              </w:rPr>
            </m:ctrlPr>
          </m:sSupPr>
          <m:e>
            <m:r>
              <w:rPr>
                <w:rFonts w:ascii="Cambria Math" w:hAnsi="Cambria Math"/>
              </w:rPr>
              <m:t>A</m:t>
            </m:r>
          </m:e>
          <m:sup>
            <m:r>
              <w:rPr>
                <w:rFonts w:ascii="Cambria Math" w:hAnsi="Cambria Math"/>
              </w:rPr>
              <m:t>(1.25</m:t>
            </m:r>
          </m:sup>
        </m:sSup>
      </m:oMath>
      <w:r>
        <w:rPr>
          <w:iCs/>
        </w:rPr>
        <w:t>,</w:t>
      </w:r>
      <m:oMath>
        <m:r>
          <w:rPr>
            <w:rFonts w:ascii="Cambria Math" w:hAnsi="Cambria Math"/>
          </w:rPr>
          <m:t xml:space="preserve"> </m:t>
        </m:r>
        <m:sSup>
          <m:sSupPr>
            <m:ctrlPr>
              <w:rPr>
                <w:rFonts w:ascii="Cambria Math" w:hAnsi="Cambria Math"/>
                <w:i/>
                <w:iCs/>
              </w:rPr>
            </m:ctrlPr>
          </m:sSupPr>
          <m:e>
            <m:r>
              <w:rPr>
                <w:rFonts w:ascii="Cambria Math" w:hAnsi="Cambria Math"/>
              </w:rPr>
              <m:t>A</m:t>
            </m:r>
          </m:e>
          <m:sup>
            <m:r>
              <w:rPr>
                <w:rFonts w:ascii="Cambria Math" w:hAnsi="Cambria Math"/>
              </w:rPr>
              <m:t>(7.5</m:t>
            </m:r>
          </m:sup>
        </m:sSup>
      </m:oMath>
    </w:p>
    <w:p w14:paraId="4BB63F9C" w14:textId="77777777" w:rsidR="00035F72" w:rsidRDefault="00035F72" w:rsidP="00035F72">
      <w:pPr>
        <w:ind w:firstLine="288"/>
        <w:rPr>
          <w:b/>
          <w:lang w:val="en-GB"/>
        </w:rPr>
      </w:pPr>
      <w:r>
        <w:rPr>
          <w:b/>
          <w:lang w:val="en-GB"/>
        </w:rPr>
        <w:t>- The CA configuration has to meet the following constraint (with parameters as defined above):</w:t>
      </w:r>
    </w:p>
    <w:p w14:paraId="29B32D2C" w14:textId="77777777" w:rsidR="00035F72" w:rsidRPr="00562E90" w:rsidRDefault="00035F72" w:rsidP="00035F72">
      <w:r>
        <w:rPr>
          <w:b/>
          <w:lang w:val="en-GB"/>
        </w:rPr>
        <w:tab/>
      </w:r>
      <m:oMath>
        <m:r>
          <m:rPr>
            <m:sty m:val="p"/>
          </m:rPr>
          <w:rPr>
            <w:rFonts w:ascii="Cambria Math" w:hAnsi="Cambria Math"/>
          </w:rPr>
          <w:br/>
        </m:r>
      </m:oMath>
      <m:oMathPara>
        <m:oMathParaPr>
          <m:jc m:val="centerGroup"/>
        </m:oMathParaPr>
        <m:oMath>
          <m:r>
            <w:rPr>
              <w:rFonts w:ascii="Cambria Math" w:hAnsi="Cambria Math"/>
            </w:rPr>
            <m:t>T&gt;</m:t>
          </m:r>
          <m:nary>
            <m:naryPr>
              <m:chr m:val="∑"/>
              <m:ctrlPr>
                <w:rPr>
                  <w:rFonts w:ascii="Cambria Math" w:hAnsi="Cambria Math"/>
                  <w:i/>
                  <w:iCs/>
                  <w:lang w:val="pt-BR"/>
                </w:rPr>
              </m:ctrlPr>
            </m:naryPr>
            <m:sub>
              <m:r>
                <w:rPr>
                  <w:rFonts w:ascii="Cambria Math" w:hAnsi="Cambria Math"/>
                </w:rPr>
                <m:t>c</m:t>
              </m:r>
              <m:r>
                <w:rPr>
                  <w:rFonts w:ascii="Cambria Math" w:hAnsi="Cambria Math"/>
                  <w:lang w:val="pt-BR"/>
                </w:rPr>
                <m:t>=1</m:t>
              </m:r>
            </m:sub>
            <m:sup>
              <m:r>
                <w:rPr>
                  <w:rFonts w:ascii="Cambria Math" w:hAnsi="Cambria Math"/>
                </w:rPr>
                <m:t>C</m:t>
              </m:r>
            </m:sup>
            <m:e>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b>
                        <m:sSubPr>
                          <m:ctrlPr>
                            <w:rPr>
                              <w:rFonts w:ascii="Cambria Math" w:hAnsi="Cambria Math"/>
                              <w:i/>
                              <w:iCs/>
                            </w:rPr>
                          </m:ctrlPr>
                        </m:sSubPr>
                        <m:e>
                          <m:r>
                            <w:rPr>
                              <w:rFonts w:ascii="Cambria Math" w:hAnsi="Cambria Math"/>
                            </w:rPr>
                            <m:t>R</m:t>
                          </m:r>
                        </m:e>
                        <m:sub>
                          <m:r>
                            <w:rPr>
                              <w:rFonts w:ascii="Cambria Math" w:hAnsi="Cambria Math"/>
                            </w:rPr>
                            <m:t>c</m:t>
                          </m:r>
                        </m:sub>
                      </m:sSub>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(7.5</m:t>
                          </m:r>
                        </m:sup>
                      </m:sSup>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(7.5kHz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(1.25</m:t>
                          </m:r>
                        </m:sup>
                      </m:sSup>
                      <m:r>
                        <w:rPr>
                          <w:rFonts w:ascii="Cambria Math" w:hAnsi="Cambria Math"/>
                        </w:rPr>
                        <m:t> 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(1.25kHz </m:t>
                  </m:r>
                </m:sup>
              </m:sSubSup>
              <m:r>
                <w:rPr>
                  <w:rFonts w:ascii="Cambria Math" w:hAnsi="Cambria Math"/>
                </w:rPr>
                <m:t>)</m:t>
              </m:r>
            </m:e>
          </m:nary>
        </m:oMath>
      </m:oMathPara>
    </w:p>
    <w:p w14:paraId="2D6D4ECB" w14:textId="77777777" w:rsidR="00376CB5" w:rsidRPr="00035F72" w:rsidRDefault="00376CB5" w:rsidP="00376CB5">
      <w:pPr>
        <w:rPr>
          <w:b/>
          <w:lang w:val="en-GB"/>
        </w:rPr>
      </w:pPr>
      <w:r w:rsidRPr="00035F72">
        <w:rPr>
          <w:b/>
          <w:u w:val="single"/>
          <w:lang w:val="en-GB"/>
        </w:rPr>
        <w:t>Proposal 2:</w:t>
      </w:r>
      <w:r>
        <w:rPr>
          <w:b/>
          <w:lang w:val="en-GB"/>
        </w:rPr>
        <w:t xml:space="preserve"> RAN1 recommends RAN2 to include a mechanism to inform the serving </w:t>
      </w:r>
      <w:proofErr w:type="spellStart"/>
      <w:r>
        <w:rPr>
          <w:b/>
          <w:lang w:val="en-GB"/>
        </w:rPr>
        <w:t>eNB</w:t>
      </w:r>
      <w:proofErr w:type="spellEnd"/>
      <w:r>
        <w:rPr>
          <w:b/>
          <w:lang w:val="en-GB"/>
        </w:rPr>
        <w:t xml:space="preserve"> of the reception of MBMS services on receive only mode, and to include the numerology and bandwidth of those services (e.g. by extending MBMS interest indication).</w:t>
      </w:r>
    </w:p>
    <w:p w14:paraId="7C0F37DD" w14:textId="77777777" w:rsidR="00035F72" w:rsidRDefault="00035F72" w:rsidP="00035F72">
      <w:pPr>
        <w:rPr>
          <w:b/>
          <w:lang w:val="en-GB"/>
        </w:rPr>
      </w:pPr>
      <w:r w:rsidRPr="00035F72">
        <w:rPr>
          <w:b/>
          <w:u w:val="single"/>
          <w:lang w:val="en-GB"/>
        </w:rPr>
        <w:t>Proposal 3:</w:t>
      </w:r>
      <w:r>
        <w:rPr>
          <w:b/>
          <w:lang w:val="en-GB"/>
        </w:rPr>
        <w:t xml:space="preserve"> Send LS to RAN2 with the above proposals.</w:t>
      </w:r>
    </w:p>
    <w:p w14:paraId="435A5871" w14:textId="77777777" w:rsidR="00035F72" w:rsidRPr="00035F72" w:rsidRDefault="00035F72" w:rsidP="00035F72">
      <w:pPr>
        <w:rPr>
          <w:lang w:val="en-GB"/>
        </w:rPr>
      </w:pPr>
    </w:p>
    <w:sectPr w:rsidR="00035F72" w:rsidRPr="00035F7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21E6" w14:textId="77777777" w:rsidR="007A084C" w:rsidRDefault="007A084C">
      <w:r>
        <w:separator/>
      </w:r>
    </w:p>
  </w:endnote>
  <w:endnote w:type="continuationSeparator" w:id="0">
    <w:p w14:paraId="22296967" w14:textId="77777777" w:rsidR="007A084C" w:rsidRDefault="007A084C">
      <w:r>
        <w:continuationSeparator/>
      </w:r>
    </w:p>
  </w:endnote>
  <w:endnote w:type="continuationNotice" w:id="1">
    <w:p w14:paraId="61E87AE8" w14:textId="77777777" w:rsidR="007A084C" w:rsidRDefault="007A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35F72" w:rsidRDefault="00035F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35F72" w:rsidRDefault="00035F7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05A7FA9" w:rsidR="00035F72" w:rsidRDefault="00035F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475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750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E3204" w14:textId="77777777" w:rsidR="007A084C" w:rsidRDefault="007A084C">
      <w:r>
        <w:separator/>
      </w:r>
    </w:p>
  </w:footnote>
  <w:footnote w:type="continuationSeparator" w:id="0">
    <w:p w14:paraId="3195B48A" w14:textId="77777777" w:rsidR="007A084C" w:rsidRDefault="007A084C">
      <w:r>
        <w:continuationSeparator/>
      </w:r>
    </w:p>
  </w:footnote>
  <w:footnote w:type="continuationNotice" w:id="1">
    <w:p w14:paraId="30FAFF94" w14:textId="77777777" w:rsidR="007A084C" w:rsidRDefault="007A0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35F72" w:rsidRDefault="00035F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8"/>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5F72"/>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41"/>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A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B6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CB5"/>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2E90"/>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A8E"/>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CD7"/>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452"/>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84C"/>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3D08"/>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E7EB4"/>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03C0"/>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04"/>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FD9"/>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6924"/>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641"/>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9236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678668">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3DAF9A-A868-4013-902E-4F28E696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10</cp:revision>
  <cp:lastPrinted>2014-11-07T05:38:00Z</cp:lastPrinted>
  <dcterms:created xsi:type="dcterms:W3CDTF">2017-05-05T18:09:00Z</dcterms:created>
  <dcterms:modified xsi:type="dcterms:W3CDTF">2018-02-17T02:34:00Z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